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357"/>
        <w:gridCol w:w="6965"/>
        <w:gridCol w:w="1360"/>
      </w:tblGrid>
      <w:tr w:rsidR="009135CE" w:rsidTr="00C104E9">
        <w:tc>
          <w:tcPr>
            <w:tcW w:w="2357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00EE3" w:rsidRDefault="00C104E9" w:rsidP="007664D0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1</w:t>
            </w:r>
            <w:r w:rsidR="007664D0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1</w:t>
            </w: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00</w:t>
            </w:r>
            <w:r w:rsidR="009135CE" w:rsidRPr="00500EE3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C</w:t>
            </w:r>
          </w:p>
        </w:tc>
        <w:tc>
          <w:tcPr>
            <w:tcW w:w="6965" w:type="dxa"/>
            <w:shd w:val="clear" w:color="auto" w:fill="FFC000"/>
            <w:vAlign w:val="center"/>
          </w:tcPr>
          <w:p w:rsidR="002F493A" w:rsidRPr="00C12362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</w:rPr>
            </w:pPr>
            <w:r w:rsidRPr="002F493A">
              <w:rPr>
                <w:rFonts w:ascii="Impact" w:hAnsi="Impact"/>
                <w:color w:val="404040" w:themeColor="text1" w:themeTint="BF"/>
              </w:rPr>
              <w:t xml:space="preserve">Промышленная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 xml:space="preserve">дизель-генераторная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>установка</w:t>
            </w:r>
          </w:p>
          <w:p w:rsidR="00C12362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1500 </w:t>
            </w:r>
            <w:proofErr w:type="gramStart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об</w:t>
            </w:r>
            <w:proofErr w:type="gramEnd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/мин – 50Гц</w:t>
            </w:r>
          </w:p>
          <w:p w:rsidR="009135CE" w:rsidRPr="00C12362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3-ФАЗНАЯ  - </w:t>
            </w:r>
            <w:r w:rsidR="009135CE"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400В/230В</w:t>
            </w:r>
          </w:p>
          <w:p w:rsidR="009135CE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Дизельный двигатель</w:t>
            </w:r>
          </w:p>
          <w:p w:rsidR="009135CE" w:rsidRPr="00364CAE" w:rsidRDefault="009135CE" w:rsidP="00C12362">
            <w:pPr>
              <w:rPr>
                <w:b/>
                <w:color w:val="000000" w:themeColor="text1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Жидкостное охлаждение</w:t>
            </w:r>
          </w:p>
        </w:tc>
        <w:tc>
          <w:tcPr>
            <w:tcW w:w="1360" w:type="dxa"/>
            <w:shd w:val="clear" w:color="auto" w:fill="FFFFFF" w:themeFill="background1"/>
          </w:tcPr>
          <w:p w:rsidR="009135CE" w:rsidRPr="0004171A" w:rsidRDefault="006C4CF4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-19133</wp:posOffset>
                  </wp:positionH>
                  <wp:positionV relativeFrom="paragraph">
                    <wp:posOffset>47818</wp:posOffset>
                  </wp:positionV>
                  <wp:extent cx="713436" cy="699715"/>
                  <wp:effectExtent l="19050" t="0" r="0" b="0"/>
                  <wp:wrapNone/>
                  <wp:docPr id="3" name="Рисунок 1" descr="C:\Users\psv\Desktop\перенос на новый комп\картинки логотипы\лого CUMM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v\Desktop\перенос на новый комп\картинки логотипы\лого CUMM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36" cy="69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10469" w:type="dxa"/>
        <w:tblLayout w:type="fixed"/>
        <w:tblLook w:val="04A0"/>
      </w:tblPr>
      <w:tblGrid>
        <w:gridCol w:w="360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F64B9E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98397</wp:posOffset>
                  </wp:positionH>
                  <wp:positionV relativeFrom="paragraph">
                    <wp:posOffset>55935</wp:posOffset>
                  </wp:positionV>
                  <wp:extent cx="1661823" cy="953412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19" cy="95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277C8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277C8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2F3248" w:rsidRDefault="002F3248" w:rsidP="006277C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1000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6277C8" w:rsidRDefault="002F3248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80</w:t>
            </w:r>
            <w:r w:rsidR="00975C9C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B06CC7" w:rsidRDefault="00500EE3" w:rsidP="009D2B7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Cummins </w:t>
            </w:r>
            <w:r w:rsidR="007664D0" w:rsidRPr="007664D0">
              <w:rPr>
                <w:rFonts w:ascii="Verdana" w:hAnsi="Verdana"/>
                <w:color w:val="58595B"/>
                <w:sz w:val="18"/>
                <w:szCs w:val="18"/>
              </w:rPr>
              <w:t>KTA38-G5</w:t>
            </w:r>
          </w:p>
        </w:tc>
      </w:tr>
      <w:tr w:rsidR="0009231E" w:rsidRPr="00AA33F2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75C9C" w:rsidRDefault="00AA33F2" w:rsidP="00975C9C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LeroySomer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TAL-A49-E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AA33F2" w:rsidRDefault="0009231E" w:rsidP="003C68E4">
            <w:pPr>
              <w:pStyle w:val="a6"/>
              <w:rPr>
                <w:b/>
                <w:lang w:val="en-US"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 – 50гц</w:t>
            </w:r>
          </w:p>
        </w:tc>
      </w:tr>
      <w:tr w:rsidR="0009231E" w:rsidTr="00A05CE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E025CF">
            <w:pPr>
              <w:pStyle w:val="a6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AA5BE8" w:rsidP="002F324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63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B55131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A05CE6">
        <w:tc>
          <w:tcPr>
            <w:tcW w:w="3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Промышленный двигатель жидкостного охлаждения CUMMINS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Генератор переменного тока (класс защиты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IP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23, класс изоляции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/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Электронная панель управления 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DEEP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SEA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  <w:lang w:val="en-US"/>
              </w:rPr>
              <w:t>DSE</w:t>
            </w:r>
            <w:r w:rsidR="00AA33F2" w:rsidRP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8610</w:t>
            </w:r>
            <w:r w:rsidR="00FD74C9"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</w:t>
            </w:r>
            <w:r w:rsid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для работы в </w:t>
            </w:r>
            <w:proofErr w:type="gramStart"/>
            <w:r w:rsid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ручном</w:t>
            </w:r>
            <w:proofErr w:type="gramEnd"/>
            <w:r w:rsid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,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автоматическом </w:t>
            </w:r>
            <w:r w:rsid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и в параллельном </w:t>
            </w: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режимах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защиты генератора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Аккумуляторная батарея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Электрический подогреватель ОЖ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Статическое зарядное устройство АКБ</w:t>
            </w:r>
          </w:p>
          <w:p w:rsidR="0009231E" w:rsidRPr="00002A5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002A5D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Стальная опорная рама со встроенным топливным баком и опорами для виброразвязки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Индустриальный глушитель 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proofErr w:type="spellStart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Низкошумный</w:t>
            </w:r>
            <w:proofErr w:type="spellEnd"/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 xml:space="preserve"> глушитель (</w:t>
            </w:r>
            <w:r w:rsidR="00AA33F2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опция</w:t>
            </w: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)</w:t>
            </w:r>
          </w:p>
          <w:p w:rsidR="0009231E" w:rsidRPr="00B06CC7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Заправка ОЖ и маслом, проведение заводских испытаний под нагрузкой</w:t>
            </w:r>
          </w:p>
          <w:p w:rsidR="0009231E" w:rsidRPr="002C23CA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b/>
                <w:color w:val="404040" w:themeColor="text1" w:themeTint="BF"/>
              </w:rPr>
            </w:pPr>
            <w:r w:rsidRPr="00B06CC7">
              <w:rPr>
                <w:rFonts w:ascii="Verdana" w:hAnsi="Verdana"/>
                <w:color w:val="404040" w:themeColor="text1" w:themeTint="BF"/>
                <w:sz w:val="18"/>
                <w:szCs w:val="18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AA33F2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AA33F2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DEEP SEA DSE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8610</w:t>
            </w:r>
          </w:p>
        </w:tc>
      </w:tr>
      <w:tr w:rsidR="0009231E" w:rsidTr="00A05CE6">
        <w:trPr>
          <w:trHeight w:val="235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AA33F2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AA5BE8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 w:rsidR="00746B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AA33F2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055C7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9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AA33F2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746B19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20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AA33F2" w:rsidP="00AA5BE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75C9C" w:rsidP="002F3248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  <w:r w:rsidR="00746B1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AA33F2" w:rsidP="00975C9C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AA33F2" w:rsidP="0025244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1000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DA0DC2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A05CE6">
        <w:trPr>
          <w:trHeight w:val="87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4A09CA" w:rsidRDefault="009D2B7A" w:rsidP="00A26EC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Cummins </w:t>
            </w:r>
            <w:r w:rsidR="007664D0" w:rsidRPr="007664D0">
              <w:rPr>
                <w:rFonts w:ascii="Verdana" w:hAnsi="Verdana"/>
                <w:color w:val="58595B"/>
                <w:sz w:val="18"/>
                <w:szCs w:val="18"/>
              </w:rPr>
              <w:t>KTA38-G5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60°V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12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975C9C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</w:t>
            </w:r>
            <w:r w:rsidR="009055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урбонаддув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интеркулер</w:t>
            </w:r>
            <w:proofErr w:type="spellEnd"/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364CAE" w:rsidP="00AA5BE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AA5BE8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DA0DC2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59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х1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59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DA0DC2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38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электронный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 110%-100%-75%-50%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975C9C" w:rsidP="002F324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32</w:t>
            </w:r>
            <w:r w:rsidR="009D2B7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213</w:t>
            </w:r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163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8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–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</w:t>
            </w:r>
            <w:r w:rsidR="002F324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bookmarkStart w:id="0" w:name="_GoBack"/>
            <w:bookmarkEnd w:id="0"/>
            <w:r w:rsidR="00DA0DC2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B55131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24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563CEF" w:rsidRDefault="00751290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/>
                <w:color w:val="545F60"/>
                <w:sz w:val="18"/>
                <w:szCs w:val="18"/>
              </w:rPr>
              <w:t>112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AA5BE8" w:rsidRDefault="00AA5BE8" w:rsidP="00751290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151,4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DA0DC2" w:rsidRDefault="00AA33F2" w:rsidP="006277C8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LeroySomer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TAL-A49-E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0"/>
      <w:footerReference w:type="default" r:id="rId11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C7" w:rsidRDefault="00BE62C7" w:rsidP="00B0479A">
      <w:pPr>
        <w:spacing w:after="0" w:line="240" w:lineRule="auto"/>
      </w:pPr>
      <w:r>
        <w:separator/>
      </w:r>
    </w:p>
  </w:endnote>
  <w:endnote w:type="continuationSeparator" w:id="0">
    <w:p w:rsidR="00BE62C7" w:rsidRDefault="00BE62C7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B4" w:rsidRPr="00CB2B5F" w:rsidRDefault="00124BB4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124BB4" w:rsidRPr="009D6B6B" w:rsidRDefault="00124BB4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C7" w:rsidRDefault="00BE62C7" w:rsidP="00B0479A">
      <w:pPr>
        <w:spacing w:after="0" w:line="240" w:lineRule="auto"/>
      </w:pPr>
      <w:r>
        <w:separator/>
      </w:r>
    </w:p>
  </w:footnote>
  <w:footnote w:type="continuationSeparator" w:id="0">
    <w:p w:rsidR="00BE62C7" w:rsidRDefault="00BE62C7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B4" w:rsidRDefault="00F805D9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03E0E"/>
    <w:rsid w:val="00012322"/>
    <w:rsid w:val="0004171A"/>
    <w:rsid w:val="00046559"/>
    <w:rsid w:val="00050E8C"/>
    <w:rsid w:val="00061E38"/>
    <w:rsid w:val="00082D6E"/>
    <w:rsid w:val="00085E81"/>
    <w:rsid w:val="0009231E"/>
    <w:rsid w:val="000951F4"/>
    <w:rsid w:val="00124BB4"/>
    <w:rsid w:val="00131457"/>
    <w:rsid w:val="00145ABF"/>
    <w:rsid w:val="00146494"/>
    <w:rsid w:val="00153A51"/>
    <w:rsid w:val="00182744"/>
    <w:rsid w:val="001B476C"/>
    <w:rsid w:val="001F676B"/>
    <w:rsid w:val="0025244E"/>
    <w:rsid w:val="0025387D"/>
    <w:rsid w:val="00257667"/>
    <w:rsid w:val="00275C8C"/>
    <w:rsid w:val="002973F0"/>
    <w:rsid w:val="002C23CA"/>
    <w:rsid w:val="002E20F2"/>
    <w:rsid w:val="002E299F"/>
    <w:rsid w:val="002F3248"/>
    <w:rsid w:val="002F493A"/>
    <w:rsid w:val="0032513A"/>
    <w:rsid w:val="00364CAE"/>
    <w:rsid w:val="003836BE"/>
    <w:rsid w:val="003A03CF"/>
    <w:rsid w:val="003A7926"/>
    <w:rsid w:val="003C68E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EE3"/>
    <w:rsid w:val="00505013"/>
    <w:rsid w:val="005237AB"/>
    <w:rsid w:val="00536B23"/>
    <w:rsid w:val="00563CEF"/>
    <w:rsid w:val="00571604"/>
    <w:rsid w:val="00594434"/>
    <w:rsid w:val="005A29D6"/>
    <w:rsid w:val="005C1963"/>
    <w:rsid w:val="005D4B50"/>
    <w:rsid w:val="005F3D4F"/>
    <w:rsid w:val="006277C8"/>
    <w:rsid w:val="00653E61"/>
    <w:rsid w:val="00696449"/>
    <w:rsid w:val="006B3F2E"/>
    <w:rsid w:val="006B5FB0"/>
    <w:rsid w:val="006C41C8"/>
    <w:rsid w:val="006C4CF4"/>
    <w:rsid w:val="006D76FE"/>
    <w:rsid w:val="00746B19"/>
    <w:rsid w:val="00751290"/>
    <w:rsid w:val="007602DD"/>
    <w:rsid w:val="007664D0"/>
    <w:rsid w:val="00783B5D"/>
    <w:rsid w:val="0079099C"/>
    <w:rsid w:val="007A1166"/>
    <w:rsid w:val="007A5F58"/>
    <w:rsid w:val="007F0336"/>
    <w:rsid w:val="0080777A"/>
    <w:rsid w:val="00826C54"/>
    <w:rsid w:val="0085008B"/>
    <w:rsid w:val="00866F6D"/>
    <w:rsid w:val="008A0BCB"/>
    <w:rsid w:val="008B04AC"/>
    <w:rsid w:val="008C0652"/>
    <w:rsid w:val="008F1486"/>
    <w:rsid w:val="0090156F"/>
    <w:rsid w:val="009055C7"/>
    <w:rsid w:val="0090749C"/>
    <w:rsid w:val="009135CE"/>
    <w:rsid w:val="009713A3"/>
    <w:rsid w:val="00975C9C"/>
    <w:rsid w:val="00982C78"/>
    <w:rsid w:val="0099616A"/>
    <w:rsid w:val="00996A74"/>
    <w:rsid w:val="009B2A15"/>
    <w:rsid w:val="009D2B7A"/>
    <w:rsid w:val="009D6B6B"/>
    <w:rsid w:val="009E0BCC"/>
    <w:rsid w:val="00A05CE6"/>
    <w:rsid w:val="00A169A1"/>
    <w:rsid w:val="00A26ECD"/>
    <w:rsid w:val="00A35F96"/>
    <w:rsid w:val="00A40D6F"/>
    <w:rsid w:val="00A7044C"/>
    <w:rsid w:val="00A72E54"/>
    <w:rsid w:val="00A81D3A"/>
    <w:rsid w:val="00AA33F2"/>
    <w:rsid w:val="00AA5BE8"/>
    <w:rsid w:val="00AD0A27"/>
    <w:rsid w:val="00AD5D14"/>
    <w:rsid w:val="00B0479A"/>
    <w:rsid w:val="00B06CC7"/>
    <w:rsid w:val="00B27DE9"/>
    <w:rsid w:val="00B51D76"/>
    <w:rsid w:val="00B55131"/>
    <w:rsid w:val="00B95938"/>
    <w:rsid w:val="00BA604F"/>
    <w:rsid w:val="00BD7A9C"/>
    <w:rsid w:val="00BE62C7"/>
    <w:rsid w:val="00C104E9"/>
    <w:rsid w:val="00C12362"/>
    <w:rsid w:val="00C41C65"/>
    <w:rsid w:val="00C5625A"/>
    <w:rsid w:val="00C5770D"/>
    <w:rsid w:val="00C6776F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51A93"/>
    <w:rsid w:val="00D54E95"/>
    <w:rsid w:val="00D93F63"/>
    <w:rsid w:val="00DA0DC2"/>
    <w:rsid w:val="00DB1BD4"/>
    <w:rsid w:val="00DB2B16"/>
    <w:rsid w:val="00DB5516"/>
    <w:rsid w:val="00DC517B"/>
    <w:rsid w:val="00DD3420"/>
    <w:rsid w:val="00DE079A"/>
    <w:rsid w:val="00E025CF"/>
    <w:rsid w:val="00E14356"/>
    <w:rsid w:val="00E14D66"/>
    <w:rsid w:val="00E318A0"/>
    <w:rsid w:val="00EA2E67"/>
    <w:rsid w:val="00EC60C9"/>
    <w:rsid w:val="00F64B9E"/>
    <w:rsid w:val="00F76EBB"/>
    <w:rsid w:val="00F805D9"/>
    <w:rsid w:val="00F83D41"/>
    <w:rsid w:val="00FD61B3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F67BC-F334-433B-AA4D-847C8D4C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brv</cp:lastModifiedBy>
  <cp:revision>29</cp:revision>
  <cp:lastPrinted>2022-05-16T14:54:00Z</cp:lastPrinted>
  <dcterms:created xsi:type="dcterms:W3CDTF">2022-05-26T12:48:00Z</dcterms:created>
  <dcterms:modified xsi:type="dcterms:W3CDTF">2024-11-22T10:51:00Z</dcterms:modified>
</cp:coreProperties>
</file>