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Pr="005C53F7" w:rsidRDefault="003C68E4" w:rsidP="003C68E4">
      <w:pPr>
        <w:pStyle w:val="a6"/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94"/>
        <w:gridCol w:w="5245"/>
        <w:gridCol w:w="1643"/>
      </w:tblGrid>
      <w:tr w:rsidR="009135CE" w:rsidTr="0020747B">
        <w:tc>
          <w:tcPr>
            <w:tcW w:w="379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D60322" w:rsidP="004F7D5C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AD-</w:t>
            </w:r>
            <w:r w:rsidR="004F7D5C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345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RE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2C23CA" w:rsidRDefault="009135CE" w:rsidP="00C12362">
            <w:pPr>
              <w:rPr>
                <w:b/>
                <w:color w:val="000000" w:themeColor="text1"/>
                <w:lang w:val="en-US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64404D" w:rsidRPr="0064404D" w:rsidRDefault="0020747B" w:rsidP="0064404D">
            <w:pPr>
              <w:pStyle w:val="a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0747B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53975</wp:posOffset>
                  </wp:positionV>
                  <wp:extent cx="862965" cy="580390"/>
                  <wp:effectExtent l="19050" t="0" r="0" b="0"/>
                  <wp:wrapNone/>
                  <wp:docPr id="1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93321B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>ОТКРЫТОЕ ИСПОЛНЕНИЕ</w:t>
            </w:r>
            <w:r>
              <w:rPr>
                <w:b/>
                <w:color w:val="F7A717"/>
                <w:sz w:val="20"/>
                <w:szCs w:val="20"/>
              </w:rPr>
              <w:t>,</w:t>
            </w:r>
            <w:r w:rsidRPr="004F7D5C">
              <w:rPr>
                <w:b/>
                <w:color w:val="F7A717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E17361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ОСНОВНАЯ</w:t>
            </w:r>
            <w:r w:rsidR="0009231E"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 МОЩНОСТЬ 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  <w:t>PRP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3811CA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345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3811CA" w:rsidRDefault="00E17361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75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3811CA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313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3811CA" w:rsidRDefault="00E17361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4F7D5C" w:rsidRDefault="0009231E" w:rsidP="0099616A">
            <w:pPr>
              <w:pStyle w:val="a6"/>
              <w:ind w:left="426"/>
              <w:rPr>
                <w:b/>
                <w:color w:val="F7A717"/>
                <w:sz w:val="20"/>
                <w:szCs w:val="20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 xml:space="preserve">В ШУМОЗАЩИТНОМ </w:t>
            </w:r>
            <w:r w:rsidR="0099616A" w:rsidRPr="004F7D5C">
              <w:rPr>
                <w:b/>
                <w:color w:val="F7A717"/>
                <w:sz w:val="20"/>
                <w:szCs w:val="20"/>
              </w:rPr>
              <w:t>К</w:t>
            </w:r>
            <w:r w:rsidRPr="004F7D5C">
              <w:rPr>
                <w:b/>
                <w:color w:val="F7A717"/>
                <w:sz w:val="20"/>
                <w:szCs w:val="20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D60322" w:rsidP="0076360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5E6E03" w:rsidRPr="005E6E0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6D10D</w:t>
            </w:r>
            <w:r w:rsidR="0076360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283</w:t>
            </w:r>
            <w:r w:rsidR="005E6E03" w:rsidRPr="005E6E0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93321B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152400</wp:posOffset>
                  </wp:positionH>
                  <wp:positionV relativeFrom="paragraph">
                    <wp:posOffset>73025</wp:posOffset>
                  </wp:positionV>
                  <wp:extent cx="2186940" cy="1111885"/>
                  <wp:effectExtent l="19050" t="0" r="381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D60322">
            <w:pPr>
              <w:pStyle w:val="a6"/>
              <w:ind w:left="-343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99616A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3811CA" w:rsidRP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444D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60322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93321B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321B" w:rsidRDefault="0093321B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93321B" w:rsidRPr="0099616A" w:rsidRDefault="0093321B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Номинальный ток 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93321B" w:rsidRPr="0099616A" w:rsidRDefault="0093321B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450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А</w:t>
            </w:r>
            <w:proofErr w:type="gramEnd"/>
          </w:p>
        </w:tc>
      </w:tr>
      <w:tr w:rsidR="0009231E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20747B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</w:t>
            </w:r>
            <w:r w:rsidR="0093321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3811CA" w:rsidP="003811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58,9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E17361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44438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RICARDO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DATAKOM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300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для работы в </w:t>
            </w:r>
            <w:proofErr w:type="gram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ручном</w:t>
            </w:r>
            <w:proofErr w:type="gram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шумозащитном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D60322" w:rsidRDefault="00D60322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09231E" w:rsidTr="00A44438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3811CA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3811CA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3700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D1BD3" w:rsidRDefault="003811CA" w:rsidP="00CD1BD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CD1BD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060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93321B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1206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D1BD3" w:rsidRDefault="0093321B" w:rsidP="00CD1BD3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CD1BD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760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93321B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1853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D1BD3" w:rsidRDefault="00CD1BD3" w:rsidP="00067AAC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2276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3811CA" w:rsidP="0020747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2990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93321B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93321B" w:rsidP="0009231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365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44438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7A5F58" w:rsidRDefault="00D60322" w:rsidP="0076360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5E6E03" w:rsidRPr="005E6E0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6D10D</w:t>
            </w:r>
            <w:r w:rsidR="0076360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283</w:t>
            </w:r>
            <w:r w:rsidR="005E6E03" w:rsidRPr="005E6E03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D60322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B0E33" w:rsidP="00B44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26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B44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B44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11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253AD0" w:rsidRDefault="00922AE7" w:rsidP="004B0E3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  <w:r w:rsidR="004B0E33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100%-7</w:t>
            </w:r>
            <w:r w:rsidR="0093321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B44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78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A1118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</w:t>
            </w:r>
            <w:r w:rsidR="00A11186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4B0E33" w:rsidRDefault="004B0E33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4B0E33" w:rsidP="005F1D9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CTG </w:t>
            </w:r>
            <w:r w:rsidR="003811CA" w:rsidRP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444D</w:t>
            </w:r>
          </w:p>
        </w:tc>
      </w:tr>
      <w:tr w:rsidR="0093321B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93321B" w:rsidRPr="00061E38" w:rsidRDefault="0093321B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93321B" w:rsidRPr="007A5F58" w:rsidRDefault="0093321B" w:rsidP="0093321B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Коэффициент мощности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93321B" w:rsidRPr="007A5F58" w:rsidRDefault="0093321B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93321B" w:rsidRPr="007A5F58" w:rsidRDefault="0093321B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0,8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517ADA" w:rsidRDefault="00517AD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5D4B50" w:rsidRPr="00CD1BD3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при использовании дополнительной прокладки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14605</wp:posOffset>
                  </wp:positionV>
                  <wp:extent cx="1495425" cy="354330"/>
                  <wp:effectExtent l="19050" t="0" r="9525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C554CA" w:rsidRDefault="00C554CA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Поддержка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CANBUS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1939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MPU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123991</wp:posOffset>
                  </wp:positionH>
                  <wp:positionV relativeFrom="paragraph">
                    <wp:posOffset>470729</wp:posOffset>
                  </wp:positionV>
                  <wp:extent cx="1467844" cy="1105231"/>
                  <wp:effectExtent l="1905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4" cy="110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40E2B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RS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232, порт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USB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Счетчик часов наработки,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таймер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Журнал событий до 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5D4B5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ETHERNET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GPRS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мониторинга, отправка и управление по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SMS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опция)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Многоязычный интерфейс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2"/>
      <w:footerReference w:type="default" r:id="rId13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41" w:rsidRDefault="00B83541" w:rsidP="00B0479A">
      <w:pPr>
        <w:spacing w:after="0" w:line="240" w:lineRule="auto"/>
      </w:pPr>
      <w:r>
        <w:separator/>
      </w:r>
    </w:p>
  </w:endnote>
  <w:end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Pr="00CB2B5F" w:rsidRDefault="00124BB4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24BB4" w:rsidRPr="009D6B6B" w:rsidRDefault="00124BB4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41" w:rsidRDefault="00B83541" w:rsidP="00B0479A">
      <w:pPr>
        <w:spacing w:after="0" w:line="240" w:lineRule="auto"/>
      </w:pPr>
      <w:r>
        <w:separator/>
      </w:r>
    </w:p>
  </w:footnote>
  <w:foot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Default="00B255E5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67AAC"/>
    <w:rsid w:val="00082D6E"/>
    <w:rsid w:val="00085E81"/>
    <w:rsid w:val="0009231E"/>
    <w:rsid w:val="00111B3F"/>
    <w:rsid w:val="00123D0D"/>
    <w:rsid w:val="00124BB4"/>
    <w:rsid w:val="00131457"/>
    <w:rsid w:val="00132324"/>
    <w:rsid w:val="00146494"/>
    <w:rsid w:val="00153A51"/>
    <w:rsid w:val="00182744"/>
    <w:rsid w:val="001A6C3E"/>
    <w:rsid w:val="001B476C"/>
    <w:rsid w:val="001F676B"/>
    <w:rsid w:val="0020747B"/>
    <w:rsid w:val="0025387D"/>
    <w:rsid w:val="00253AD0"/>
    <w:rsid w:val="00257667"/>
    <w:rsid w:val="00275C8C"/>
    <w:rsid w:val="002973F0"/>
    <w:rsid w:val="002C23CA"/>
    <w:rsid w:val="002E20F2"/>
    <w:rsid w:val="002E299F"/>
    <w:rsid w:val="002F493A"/>
    <w:rsid w:val="00330B3B"/>
    <w:rsid w:val="003811CA"/>
    <w:rsid w:val="003836BE"/>
    <w:rsid w:val="003A03CF"/>
    <w:rsid w:val="003A7926"/>
    <w:rsid w:val="003C68E4"/>
    <w:rsid w:val="00417F00"/>
    <w:rsid w:val="004237C2"/>
    <w:rsid w:val="00461209"/>
    <w:rsid w:val="004A3E5E"/>
    <w:rsid w:val="004B0E33"/>
    <w:rsid w:val="004D4FD9"/>
    <w:rsid w:val="004E30E5"/>
    <w:rsid w:val="004F6A16"/>
    <w:rsid w:val="004F7D5C"/>
    <w:rsid w:val="00500EE3"/>
    <w:rsid w:val="00505013"/>
    <w:rsid w:val="00517ADA"/>
    <w:rsid w:val="00524F96"/>
    <w:rsid w:val="00536B23"/>
    <w:rsid w:val="00594434"/>
    <w:rsid w:val="005A29D6"/>
    <w:rsid w:val="005C1963"/>
    <w:rsid w:val="005C53F7"/>
    <w:rsid w:val="005D4B50"/>
    <w:rsid w:val="005E6E03"/>
    <w:rsid w:val="005F1D9D"/>
    <w:rsid w:val="005F3D4F"/>
    <w:rsid w:val="0064404D"/>
    <w:rsid w:val="00653E61"/>
    <w:rsid w:val="0067498B"/>
    <w:rsid w:val="00696449"/>
    <w:rsid w:val="006B3F2E"/>
    <w:rsid w:val="006B5FB0"/>
    <w:rsid w:val="006C41C8"/>
    <w:rsid w:val="006C4CF4"/>
    <w:rsid w:val="006D76FE"/>
    <w:rsid w:val="00740E2B"/>
    <w:rsid w:val="007602DD"/>
    <w:rsid w:val="00763606"/>
    <w:rsid w:val="00783B5D"/>
    <w:rsid w:val="007A5F58"/>
    <w:rsid w:val="007F0336"/>
    <w:rsid w:val="00826C54"/>
    <w:rsid w:val="008A0BCB"/>
    <w:rsid w:val="008B04AC"/>
    <w:rsid w:val="008F1486"/>
    <w:rsid w:val="0090156F"/>
    <w:rsid w:val="0090749C"/>
    <w:rsid w:val="009135CE"/>
    <w:rsid w:val="00922AE7"/>
    <w:rsid w:val="0093321B"/>
    <w:rsid w:val="009713A3"/>
    <w:rsid w:val="00982C78"/>
    <w:rsid w:val="0099616A"/>
    <w:rsid w:val="00996A74"/>
    <w:rsid w:val="009B2A15"/>
    <w:rsid w:val="009D6B6B"/>
    <w:rsid w:val="00A11186"/>
    <w:rsid w:val="00A169A1"/>
    <w:rsid w:val="00A16FB6"/>
    <w:rsid w:val="00A33A07"/>
    <w:rsid w:val="00A35F96"/>
    <w:rsid w:val="00A44438"/>
    <w:rsid w:val="00A7044C"/>
    <w:rsid w:val="00A72E54"/>
    <w:rsid w:val="00AC69DA"/>
    <w:rsid w:val="00AD0A27"/>
    <w:rsid w:val="00AD5D14"/>
    <w:rsid w:val="00B0479A"/>
    <w:rsid w:val="00B255E5"/>
    <w:rsid w:val="00B27DE9"/>
    <w:rsid w:val="00B44CC7"/>
    <w:rsid w:val="00B51D76"/>
    <w:rsid w:val="00B54DB7"/>
    <w:rsid w:val="00B83541"/>
    <w:rsid w:val="00B95938"/>
    <w:rsid w:val="00BA604F"/>
    <w:rsid w:val="00C12362"/>
    <w:rsid w:val="00C41C65"/>
    <w:rsid w:val="00C554CA"/>
    <w:rsid w:val="00C5770D"/>
    <w:rsid w:val="00C95B18"/>
    <w:rsid w:val="00CA59EB"/>
    <w:rsid w:val="00CB2B5F"/>
    <w:rsid w:val="00CB3062"/>
    <w:rsid w:val="00CB73A9"/>
    <w:rsid w:val="00CD1BD3"/>
    <w:rsid w:val="00CD6CD5"/>
    <w:rsid w:val="00CD7E95"/>
    <w:rsid w:val="00CE78D9"/>
    <w:rsid w:val="00CF015B"/>
    <w:rsid w:val="00D03BE0"/>
    <w:rsid w:val="00D51A93"/>
    <w:rsid w:val="00D54E95"/>
    <w:rsid w:val="00D60322"/>
    <w:rsid w:val="00D6557A"/>
    <w:rsid w:val="00D94023"/>
    <w:rsid w:val="00DB2B16"/>
    <w:rsid w:val="00DB5516"/>
    <w:rsid w:val="00DC517B"/>
    <w:rsid w:val="00DD3420"/>
    <w:rsid w:val="00DD6FB4"/>
    <w:rsid w:val="00DE079A"/>
    <w:rsid w:val="00E065C4"/>
    <w:rsid w:val="00E14356"/>
    <w:rsid w:val="00E17361"/>
    <w:rsid w:val="00EA2E67"/>
    <w:rsid w:val="00F76EBB"/>
    <w:rsid w:val="00F83D41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A3122-43D1-4321-B93F-789F2FDF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3</cp:revision>
  <cp:lastPrinted>2022-05-16T14:54:00Z</cp:lastPrinted>
  <dcterms:created xsi:type="dcterms:W3CDTF">2023-09-01T12:22:00Z</dcterms:created>
  <dcterms:modified xsi:type="dcterms:W3CDTF">2023-09-01T12:56:00Z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78219067</vt:i4>
  </property>
</Properties>
</file>