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357"/>
        <w:gridCol w:w="6965"/>
        <w:gridCol w:w="1360"/>
      </w:tblGrid>
      <w:tr w:rsidR="009135CE" w:rsidTr="00C104E9">
        <w:tc>
          <w:tcPr>
            <w:tcW w:w="2357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00EE3" w:rsidRDefault="00C104E9" w:rsidP="007664D0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1</w:t>
            </w:r>
            <w:r w:rsidR="007664D0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1</w:t>
            </w: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00</w:t>
            </w:r>
            <w:r w:rsidR="009135CE" w:rsidRPr="00500EE3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C</w:t>
            </w:r>
          </w:p>
        </w:tc>
        <w:tc>
          <w:tcPr>
            <w:tcW w:w="6965" w:type="dxa"/>
            <w:shd w:val="clear" w:color="auto" w:fill="FFC000"/>
            <w:vAlign w:val="center"/>
          </w:tcPr>
          <w:p w:rsidR="002F493A" w:rsidRPr="00C12362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</w:rPr>
            </w:pPr>
            <w:r w:rsidRPr="002F493A">
              <w:rPr>
                <w:rFonts w:ascii="Impact" w:hAnsi="Impact"/>
                <w:color w:val="404040" w:themeColor="text1" w:themeTint="BF"/>
              </w:rPr>
              <w:t xml:space="preserve">Промышленная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 xml:space="preserve">дизель-генераторная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>установка</w:t>
            </w:r>
          </w:p>
          <w:p w:rsidR="00C12362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1500 </w:t>
            </w:r>
            <w:proofErr w:type="gramStart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об</w:t>
            </w:r>
            <w:proofErr w:type="gramEnd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/мин – 50Гц</w:t>
            </w:r>
          </w:p>
          <w:p w:rsidR="009135CE" w:rsidRPr="00C12362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3-ФАЗНАЯ  - </w:t>
            </w:r>
            <w:r w:rsidR="009135CE"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400В/230В</w:t>
            </w:r>
          </w:p>
          <w:p w:rsidR="009135CE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Дизельный двигатель</w:t>
            </w:r>
          </w:p>
          <w:p w:rsidR="009135CE" w:rsidRPr="00364CAE" w:rsidRDefault="009135CE" w:rsidP="00C12362">
            <w:pPr>
              <w:rPr>
                <w:b/>
                <w:color w:val="000000" w:themeColor="text1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Жидкостное охлаждение</w:t>
            </w:r>
          </w:p>
        </w:tc>
        <w:tc>
          <w:tcPr>
            <w:tcW w:w="1360" w:type="dxa"/>
            <w:shd w:val="clear" w:color="auto" w:fill="FFFFFF" w:themeFill="background1"/>
          </w:tcPr>
          <w:p w:rsidR="009135CE" w:rsidRPr="0004171A" w:rsidRDefault="006C4CF4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-19133</wp:posOffset>
                  </wp:positionH>
                  <wp:positionV relativeFrom="paragraph">
                    <wp:posOffset>47818</wp:posOffset>
                  </wp:positionV>
                  <wp:extent cx="713436" cy="699715"/>
                  <wp:effectExtent l="19050" t="0" r="0" b="0"/>
                  <wp:wrapNone/>
                  <wp:docPr id="3" name="Рисунок 1" descr="C:\Users\psv\Desktop\перенос на новый комп\картинки логотипы\лого CUMM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v\Desktop\перенос на новый комп\картинки логотипы\лого CUMM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36" cy="69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10469" w:type="dxa"/>
        <w:tblLayout w:type="fixed"/>
        <w:tblLook w:val="04A0"/>
      </w:tblPr>
      <w:tblGrid>
        <w:gridCol w:w="360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F64B9E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98397</wp:posOffset>
                  </wp:positionH>
                  <wp:positionV relativeFrom="paragraph">
                    <wp:posOffset>55935</wp:posOffset>
                  </wp:positionV>
                  <wp:extent cx="1661823" cy="953412"/>
                  <wp:effectExtent l="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19" cy="95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277C8" w:rsidRDefault="00975C9C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277C8" w:rsidRDefault="00975C9C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2F3248" w:rsidRDefault="002F3248" w:rsidP="006277C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1000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6277C8" w:rsidRDefault="002F3248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80</w:t>
            </w:r>
            <w:r w:rsidR="00975C9C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rPr>
          <w:trHeight w:val="4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 xml:space="preserve">В ШУМОЗАЩИТНОМ </w:t>
            </w:r>
            <w:r w:rsidR="0099616A">
              <w:rPr>
                <w:b/>
                <w:color w:val="F7A717"/>
                <w:sz w:val="24"/>
                <w:szCs w:val="24"/>
              </w:rPr>
              <w:t>К</w:t>
            </w:r>
            <w:r w:rsidRPr="00124BB4">
              <w:rPr>
                <w:b/>
                <w:color w:val="F7A717"/>
                <w:sz w:val="24"/>
                <w:szCs w:val="24"/>
              </w:rPr>
              <w:t>ОЖУХЕ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B06CC7" w:rsidRDefault="00500EE3" w:rsidP="009D2B7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Cummins </w:t>
            </w:r>
            <w:r w:rsidR="007664D0" w:rsidRPr="007664D0">
              <w:rPr>
                <w:rFonts w:ascii="Verdana" w:hAnsi="Verdana"/>
                <w:color w:val="58595B"/>
                <w:sz w:val="18"/>
                <w:szCs w:val="18"/>
              </w:rPr>
              <w:t>KTA38-G5</w:t>
            </w:r>
          </w:p>
        </w:tc>
      </w:tr>
      <w:tr w:rsidR="0009231E" w:rsidRPr="00821911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A05CE6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50690</wp:posOffset>
                  </wp:positionH>
                  <wp:positionV relativeFrom="paragraph">
                    <wp:posOffset>119093</wp:posOffset>
                  </wp:positionV>
                  <wp:extent cx="1777365" cy="904234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90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821911" w:rsidRDefault="00821911" w:rsidP="00975C9C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Leroy </w:t>
            </w:r>
            <w:proofErr w:type="spellStart"/>
            <w:r w:rsidRP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Somer</w:t>
            </w:r>
            <w:proofErr w:type="spellEnd"/>
            <w:r w:rsidRP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TAL-A49-E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821911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 – 50гц</w:t>
            </w:r>
          </w:p>
        </w:tc>
      </w:tr>
      <w:tr w:rsidR="0009231E" w:rsidTr="00A05CE6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E025CF">
            <w:pPr>
              <w:pStyle w:val="a6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AA5BE8" w:rsidP="002F324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63</w:t>
            </w:r>
            <w:r w:rsid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B55131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A05CE6">
        <w:tc>
          <w:tcPr>
            <w:tcW w:w="3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Промышленный двигатель жидкостного охлаждения CUMMINS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Генератор переменного тока (класс защиты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IP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23, класс изоляции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Электронная панель управления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proofErr w:type="spellEnd"/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4 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8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для работы в ручном и автоматическом режимах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защиты генератора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Аккумуляторная батарея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Электрический подогреватель ОЖ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Статическое зарядное устройство АКБ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Стальная опорная рама со встроенным топливным баком и опорами для виброразвязки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Индустриальный глушитель (для ДГУ открытого исполнения)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Низкошумный глушитель (для ДГУ в шумозащитном </w:t>
            </w:r>
            <w:proofErr w:type="gramStart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кожухе</w:t>
            </w:r>
            <w:proofErr w:type="gramEnd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Заправка ОЖ и маслом, проведение заводских испытаний под нагрузкой</w:t>
            </w:r>
          </w:p>
          <w:p w:rsidR="0009231E" w:rsidRPr="002C23CA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  <w:color w:val="404040" w:themeColor="text1" w:themeTint="BF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Comap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intelilite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8</w:t>
            </w:r>
          </w:p>
        </w:tc>
      </w:tr>
      <w:tr w:rsidR="0009231E" w:rsidTr="00A05CE6">
        <w:trPr>
          <w:trHeight w:val="235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КОЖУХ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AA5BE8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  <w:r w:rsidR="00746B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AA5BE8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</w:t>
            </w:r>
            <w:r w:rsidR="00746B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055C7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9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DA0DC2" w:rsidP="00AA5BE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15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746B19" w:rsidP="00AA5BE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20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364CAE" w:rsidP="00AA5BE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75C9C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  <w:r w:rsidR="00746B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E44712" w:rsidP="00821911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 w:rsid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7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746B19" w:rsidP="0025244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E44712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A05CE6">
        <w:trPr>
          <w:trHeight w:val="87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4A09CA" w:rsidRDefault="009D2B7A" w:rsidP="00A26EC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Cummins </w:t>
            </w:r>
            <w:r w:rsidR="007664D0" w:rsidRPr="007664D0">
              <w:rPr>
                <w:rFonts w:ascii="Verdana" w:hAnsi="Verdana"/>
                <w:color w:val="58595B"/>
                <w:sz w:val="18"/>
                <w:szCs w:val="18"/>
              </w:rPr>
              <w:t>KTA38-G5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60°V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12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975C9C" w:rsidP="007512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</w:t>
            </w:r>
            <w:r w:rsidR="009055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урбонаддув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интеркулер</w:t>
            </w:r>
            <w:proofErr w:type="spellEnd"/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364CAE" w:rsidP="00AA5BE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DA0DC2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59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х1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59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DA0DC2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38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 110%-100%-75%-50%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975C9C" w:rsidP="002F324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32</w:t>
            </w:r>
            <w:r w:rsidR="009D2B7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–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213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–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163</w:t>
            </w:r>
            <w:r w:rsid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–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bookmarkStart w:id="0" w:name="_GoBack"/>
            <w:bookmarkEnd w:id="0"/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24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563CEF" w:rsidRDefault="00751290" w:rsidP="007512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545F60"/>
                <w:sz w:val="18"/>
                <w:szCs w:val="18"/>
              </w:rPr>
              <w:t>112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7512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151,4</w:t>
            </w:r>
          </w:p>
        </w:tc>
      </w:tr>
      <w:tr w:rsidR="005D4B50" w:rsidRPr="0082191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DA0DC2" w:rsidRDefault="00821911" w:rsidP="006277C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Leroy </w:t>
            </w:r>
            <w:proofErr w:type="spellStart"/>
            <w:r w:rsidRP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Somer</w:t>
            </w:r>
            <w:proofErr w:type="spellEnd"/>
            <w:r w:rsidRPr="0082191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TAL-A49-E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821911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  <w:tr w:rsidR="005D4B50" w:rsidRPr="00153A5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ПУЛЬТ</w:t>
            </w:r>
          </w:p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УПРАВЛЕНИЯ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ComAp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InteliLite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4 AMF 8</w:t>
            </w:r>
          </w:p>
        </w:tc>
      </w:tr>
      <w:tr w:rsidR="005D4B50" w:rsidRPr="00E44712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99616A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Режимы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работы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OFF/MANUAL/AUTO/TEST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99616A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Графический дисплей, кнопки управления, световые индикаторы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149698</wp:posOffset>
                  </wp:positionV>
                  <wp:extent cx="1495425" cy="450215"/>
                  <wp:effectExtent l="0" t="0" r="0" b="0"/>
                  <wp:wrapNone/>
                  <wp:docPr id="12" name="Рисунок 4" descr="Co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A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IP65 (передняя панель)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Условия эксплуатации: t=-200С ÷ +700С, влажность 95% без образования конденсата.</w:t>
            </w:r>
          </w:p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Вибрация: 5-25Гц, ±1,6мм; 5-100Гц, а=4g. Ударные воздействия: a= 500 м/с2.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383416</wp:posOffset>
                  </wp:positionH>
                  <wp:positionV relativeFrom="paragraph">
                    <wp:posOffset>335679</wp:posOffset>
                  </wp:positionV>
                  <wp:extent cx="1018180" cy="1023582"/>
                  <wp:effectExtent l="19050" t="0" r="0" b="0"/>
                  <wp:wrapNone/>
                  <wp:docPr id="11" name="Рисунок 5" descr="InteliLite 4 AM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iLite 4 AMF 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80" cy="102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Настройка параметров через ПК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Настраиваемые аналоговые и цифровые входы и выходы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ДГУ посредством предупреждения о неисправности или аварийного останова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Контроль параметров внешней сети и ДГУ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Интерфейс RS-232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96814</wp:posOffset>
                  </wp:positionH>
                  <wp:positionV relativeFrom="paragraph">
                    <wp:posOffset>12984</wp:posOffset>
                  </wp:positionV>
                  <wp:extent cx="1514902" cy="1105469"/>
                  <wp:effectExtent l="0" t="0" r="0" b="0"/>
                  <wp:wrapNone/>
                  <wp:docPr id="10" name="Рисунок 2" descr="C:\Users\psv\Desktop\InteliLite 4 AMF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sv\Desktop\InteliLite 4 AMF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2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Счетчик часов наработки, 3 таймера технического обслуживания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Журнал событий до 150 записей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7602D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Возможность интернет доступа с использованием ETHERNET/4G, MODBUS TCP/RTU, SNMP v1/v2c (опция), SMS и электронные письма, поддержка удаленной связи (AirGate2.0,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WebSupervisor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5F3D4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Пользовательские настройки и средства защиты, управление доступом пользователей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Поддержка 5 языков</w:t>
            </w:r>
            <w:r w:rsidR="00E14356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4"/>
      <w:footerReference w:type="default" r:id="rId15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C7" w:rsidRDefault="00BE62C7" w:rsidP="00B0479A">
      <w:pPr>
        <w:spacing w:after="0" w:line="240" w:lineRule="auto"/>
      </w:pPr>
      <w:r>
        <w:separator/>
      </w:r>
    </w:p>
  </w:endnote>
  <w:endnote w:type="continuationSeparator" w:id="0">
    <w:p w:rsidR="00BE62C7" w:rsidRDefault="00BE62C7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B4" w:rsidRPr="00CB2B5F" w:rsidRDefault="00124BB4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124BB4" w:rsidRPr="009D6B6B" w:rsidRDefault="00124BB4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C7" w:rsidRDefault="00BE62C7" w:rsidP="00B0479A">
      <w:pPr>
        <w:spacing w:after="0" w:line="240" w:lineRule="auto"/>
      </w:pPr>
      <w:r>
        <w:separator/>
      </w:r>
    </w:p>
  </w:footnote>
  <w:footnote w:type="continuationSeparator" w:id="0">
    <w:p w:rsidR="00BE62C7" w:rsidRDefault="00BE62C7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B4" w:rsidRDefault="00B2210A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03E0E"/>
    <w:rsid w:val="00012322"/>
    <w:rsid w:val="0004171A"/>
    <w:rsid w:val="00046559"/>
    <w:rsid w:val="00050E8C"/>
    <w:rsid w:val="00061E38"/>
    <w:rsid w:val="00082D6E"/>
    <w:rsid w:val="00085E81"/>
    <w:rsid w:val="0009231E"/>
    <w:rsid w:val="000951F4"/>
    <w:rsid w:val="00124BB4"/>
    <w:rsid w:val="00131457"/>
    <w:rsid w:val="00145ABF"/>
    <w:rsid w:val="00146494"/>
    <w:rsid w:val="00153A51"/>
    <w:rsid w:val="00182744"/>
    <w:rsid w:val="001B476C"/>
    <w:rsid w:val="001F676B"/>
    <w:rsid w:val="0025244E"/>
    <w:rsid w:val="0025387D"/>
    <w:rsid w:val="00257667"/>
    <w:rsid w:val="00275C8C"/>
    <w:rsid w:val="002973F0"/>
    <w:rsid w:val="002C23CA"/>
    <w:rsid w:val="002E20F2"/>
    <w:rsid w:val="002E299F"/>
    <w:rsid w:val="002F3248"/>
    <w:rsid w:val="002F493A"/>
    <w:rsid w:val="0032513A"/>
    <w:rsid w:val="00364CAE"/>
    <w:rsid w:val="003836BE"/>
    <w:rsid w:val="003A03CF"/>
    <w:rsid w:val="003A7926"/>
    <w:rsid w:val="003C68E4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EE3"/>
    <w:rsid w:val="00505013"/>
    <w:rsid w:val="005237AB"/>
    <w:rsid w:val="00536B23"/>
    <w:rsid w:val="00563CEF"/>
    <w:rsid w:val="00571604"/>
    <w:rsid w:val="00594434"/>
    <w:rsid w:val="005A29D6"/>
    <w:rsid w:val="005C1963"/>
    <w:rsid w:val="005D4B50"/>
    <w:rsid w:val="005F3D4F"/>
    <w:rsid w:val="006277C8"/>
    <w:rsid w:val="00653E61"/>
    <w:rsid w:val="00696449"/>
    <w:rsid w:val="006B3F2E"/>
    <w:rsid w:val="006B5FB0"/>
    <w:rsid w:val="006C41C8"/>
    <w:rsid w:val="006C4CF4"/>
    <w:rsid w:val="006D76FE"/>
    <w:rsid w:val="00746B19"/>
    <w:rsid w:val="00751290"/>
    <w:rsid w:val="007602DD"/>
    <w:rsid w:val="007664D0"/>
    <w:rsid w:val="00783B5D"/>
    <w:rsid w:val="007A1166"/>
    <w:rsid w:val="007A5F58"/>
    <w:rsid w:val="007F0336"/>
    <w:rsid w:val="0080777A"/>
    <w:rsid w:val="00821911"/>
    <w:rsid w:val="00826C54"/>
    <w:rsid w:val="0085008B"/>
    <w:rsid w:val="00866F6D"/>
    <w:rsid w:val="008A0BCB"/>
    <w:rsid w:val="008B04AC"/>
    <w:rsid w:val="008C0652"/>
    <w:rsid w:val="008F1486"/>
    <w:rsid w:val="0090156F"/>
    <w:rsid w:val="009055C7"/>
    <w:rsid w:val="0090749C"/>
    <w:rsid w:val="009135CE"/>
    <w:rsid w:val="009713A3"/>
    <w:rsid w:val="00975C9C"/>
    <w:rsid w:val="00982C78"/>
    <w:rsid w:val="0099616A"/>
    <w:rsid w:val="00996A74"/>
    <w:rsid w:val="009B2A15"/>
    <w:rsid w:val="009D2B7A"/>
    <w:rsid w:val="009D6B6B"/>
    <w:rsid w:val="009E0BCC"/>
    <w:rsid w:val="00A05CE6"/>
    <w:rsid w:val="00A169A1"/>
    <w:rsid w:val="00A26ECD"/>
    <w:rsid w:val="00A35F96"/>
    <w:rsid w:val="00A40D6F"/>
    <w:rsid w:val="00A7044C"/>
    <w:rsid w:val="00A72E54"/>
    <w:rsid w:val="00A81D3A"/>
    <w:rsid w:val="00AA5BE8"/>
    <w:rsid w:val="00AD0A27"/>
    <w:rsid w:val="00AD5D14"/>
    <w:rsid w:val="00B0479A"/>
    <w:rsid w:val="00B06CC7"/>
    <w:rsid w:val="00B2210A"/>
    <w:rsid w:val="00B27DE9"/>
    <w:rsid w:val="00B51D76"/>
    <w:rsid w:val="00B55131"/>
    <w:rsid w:val="00B95938"/>
    <w:rsid w:val="00BA604F"/>
    <w:rsid w:val="00BD7A9C"/>
    <w:rsid w:val="00BE62C7"/>
    <w:rsid w:val="00C104E9"/>
    <w:rsid w:val="00C12362"/>
    <w:rsid w:val="00C41C65"/>
    <w:rsid w:val="00C5625A"/>
    <w:rsid w:val="00C5770D"/>
    <w:rsid w:val="00C6776F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51A93"/>
    <w:rsid w:val="00D54E95"/>
    <w:rsid w:val="00D93F63"/>
    <w:rsid w:val="00DA0DC2"/>
    <w:rsid w:val="00DB1BD4"/>
    <w:rsid w:val="00DB2B16"/>
    <w:rsid w:val="00DB5516"/>
    <w:rsid w:val="00DC517B"/>
    <w:rsid w:val="00DD3420"/>
    <w:rsid w:val="00DE079A"/>
    <w:rsid w:val="00E025CF"/>
    <w:rsid w:val="00E14356"/>
    <w:rsid w:val="00E14D66"/>
    <w:rsid w:val="00E318A0"/>
    <w:rsid w:val="00E44712"/>
    <w:rsid w:val="00EA2E67"/>
    <w:rsid w:val="00EC60C9"/>
    <w:rsid w:val="00F64B9E"/>
    <w:rsid w:val="00F76EBB"/>
    <w:rsid w:val="00F83D41"/>
    <w:rsid w:val="00FD61B3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CDEE5-9BBC-4D8C-B363-DC3F7D3E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Мартыненко </cp:lastModifiedBy>
  <cp:revision>3</cp:revision>
  <cp:lastPrinted>2022-05-16T14:54:00Z</cp:lastPrinted>
  <dcterms:created xsi:type="dcterms:W3CDTF">2025-03-05T04:52:00Z</dcterms:created>
  <dcterms:modified xsi:type="dcterms:W3CDTF">2025-03-05T04:54:00Z</dcterms:modified>
</cp:coreProperties>
</file>